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24"/>
          <w:szCs w:val="24"/>
        </w:rPr>
      </w:pPr>
      <w:r w:rsidDel="00000000" w:rsidR="00000000" w:rsidRPr="00000000">
        <w:rPr>
          <w:rtl w:val="0"/>
        </w:rPr>
      </w:r>
    </w:p>
    <w:tbl>
      <w:tblPr>
        <w:tblStyle w:val="Table1"/>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1410"/>
        <w:gridCol w:w="2820"/>
        <w:gridCol w:w="2145"/>
        <w:tblGridChange w:id="0">
          <w:tblGrid>
            <w:gridCol w:w="2940"/>
            <w:gridCol w:w="1410"/>
            <w:gridCol w:w="2820"/>
            <w:gridCol w:w="21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PUNTI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before="115" w:line="240" w:lineRule="auto"/>
              <w:ind w:left="94" w:right="57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 compilare a cura del candidato in autovalutazione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spacing w:before="115" w:line="240" w:lineRule="auto"/>
              <w:ind w:left="109" w:right="53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Punti assegnati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Laurea magistrale con lode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Laurea magistrale con votazione da 100 a 110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Laurea magistrale con votazione inferiore a 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 10 punti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Altri titoli e specializzazioni (altra abilitazione in altra classe di concorso afferente l’area linguistica, dottorato di ricerca, corsi di perfezionamento post laurea, master, corsi di aggiornamento, certificazioni) conseguiti nell’area afferente le cdc  (AC24, AB24, AA24, BA02, BB02, BC02)</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punti per ogni titolo, max. 5 titoli)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 10 punti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Corsi di formazione afferenti l’uso delle nuove tecnologie nell’insegnamento delle lingue straniere (ICDL, LIM, Laboratorio linguistico, ecc.)</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punti per ogni titolo, max.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 20 punti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Esperienze professionali nella preparazione  e conduzione di percorsi rivolti agli studenti per il conseguimento della certificazione linguistica</w:t>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punti per ogni tipologia di esperienze, max.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 10 punti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Esperienze professionali nella preparazione  e conduzione di percorsi rivolti ai docenti per il conseguimento della certificazione linguistica</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punti per ogni tipologia di esperienze, max.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 10 punti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Metodologia/e strategia/e che si intendono adottare nei percorsi desunte dalla scheda progettuale presentata</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 10 punti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TOTALE PUNTI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3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 D  linea B Esperto lingue - Tabella di autovalutazione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bIIIqgDfcGIt0/8gNvFf+n67iw==">CgMxLjA4AHIhMUxnZHNzNzBLT1Vya2puSnQ5dmRPaXVrZHNGTW5xR2s2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