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D_9_B - </w:t>
      </w:r>
      <w:r w:rsidDel="00000000" w:rsidR="00000000" w:rsidRPr="00000000">
        <w:rPr>
          <w:sz w:val="24"/>
          <w:szCs w:val="24"/>
          <w:rtl w:val="0"/>
        </w:rPr>
        <w:t xml:space="preserve">GRIGLIA DI 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Informatica con didattica laboratoriale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nella cdc A041 o con titolo di accesso per l’insegnamento nella cdc A041</w:t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3">
                <w:pPr>
                  <w:rPr>
                    <w:b w:val="1"/>
                    <w:sz w:val="26"/>
                    <w:szCs w:val="26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ESPERTO nei percorsi rivolti agli studenti finalizzati all’acquisizione di competenze su Informatica con didattica laboratoriale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conseguiti nell’area tecnologica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(4punti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l’insegnamento dell’informatica con didattica innovativa e laboratoriale</w:t>
                </w:r>
              </w:p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sull’informatica con didattica innovativa e laboratoriale</w:t>
                </w:r>
              </w:p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Qdkpq4XLVIVRBCZMjZ8p/6LFiA==">CgMxLjAaHwoBMBIaChgICVIUChJ0YWJsZS53Y3NtNHI2bDY0bGw4AHIhMVlmUDRoc0o3MXp0V0p5NWpIV0JNNDBjNGdFOFBwOERw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