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D_5 -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coding e robotica educativa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classe di concorso A041 oppure docente con esperienza su coding e robotica educativa</w:t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spacing w:before="240" w:line="276" w:lineRule="auto"/>
                  <w:jc w:val="both"/>
                  <w:rPr>
                    <w:b w:val="1"/>
                    <w:sz w:val="26"/>
                    <w:szCs w:val="26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ESPERTO nei percorsi rivolti agli studenti finalizzati all’acquisizione di competenze su coding e robotica educativa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(4 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il coding e la robotica educativa nella pratica didattica</w:t>
                </w:r>
              </w:p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 coding e robotica educativa</w:t>
                </w:r>
              </w:p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0K1To94IHOBvgsOo7eVY02/R+g==">CgMxLjAaHwoBMBIaChgICVIUChJ0YWJsZS5nNzM2eHE5MXp1czU4AHIhMVpxVGZCM01wR19MNDFOQVVVczJvRkZ3TXlFYlpqdzJS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