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D_E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POTENZIAMENTO COMPETENZE DI BASE IN FRANCESE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AA24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potenziamento competenze di base francese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Altra abilitazione all’insegnamento oltre quella di accesso all’insegnamento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la cdc AA24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la cdc AB24 o la tematica del progetto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di formazione nel settore di riferimento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progetto. 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