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D_B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potenziamento competenze di base  matematica.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 titoli sono da intendersi cumulativi e non alternativi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.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titoli di accesso classi di concorso A26, A27, A47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5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40"/>
        <w:gridCol w:w="1605"/>
        <w:gridCol w:w="1470"/>
        <w:gridCol w:w="1380"/>
        <w:tblGridChange w:id="0">
          <w:tblGrid>
            <w:gridCol w:w="4740"/>
            <w:gridCol w:w="1605"/>
            <w:gridCol w:w="147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potenziamento competenze di base matematica.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160"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Abilitazione all’insegnamento nella disciplina di interesse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master, corsi di perfezionamento post laurea, corsi di aggiornamento, certificazioni) conseguiti nell’area afferente le cdc A26 o A27 o A47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le cdc A26 o A27 o A47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cyan"/>
                <w:rtl w:val="0"/>
              </w:rPr>
              <w:t xml:space="preserve">Titoli formativi nella didattica della matematica 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